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A3" w:rsidRDefault="007035A3" w:rsidP="007035A3">
      <w:pPr>
        <w:pStyle w:val="a3"/>
        <w:spacing w:before="15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bookmarkStart w:id="0" w:name="_GoBack"/>
      <w:r>
        <w:rPr>
          <w:rFonts w:ascii="Arial" w:hAnsi="Arial" w:cs="Arial"/>
          <w:color w:val="0C0C0C"/>
          <w:sz w:val="27"/>
          <w:szCs w:val="27"/>
        </w:rPr>
        <w:t>ЗАКОН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РЕСПУБЛИКИ САХА (ЯКУТИЯ)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О ВНЕСЕНИИ ИЗМЕНЕНИЙ В ОТДЕЛЬНЫЕ ЗАКОНОДАТЕЛЬНЫЕ АКТЫ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РЕСПУБЛИКИ САХА (ЯКУТИЯ) ПО ВОПРОСАМ СОЦИАЛЬНОЙ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ЗАЩИТЫ ИНВАЛИДОВ В СВЯЗИ С РАТИФИКАЦИЕЙ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КОНВЕНЦИИ О ПРАВАХ ИНВАЛИДОВ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bookmarkEnd w:id="0"/>
    <w:p w:rsidR="007035A3" w:rsidRDefault="007035A3" w:rsidP="007035A3">
      <w:pPr>
        <w:pStyle w:val="a3"/>
        <w:spacing w:before="150" w:beforeAutospacing="0" w:after="0" w:afterAutospacing="0" w:line="360" w:lineRule="atLeast"/>
        <w:jc w:val="righ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Принят постановлением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righ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Государственного Собрания (Ил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Тумэн</w:t>
      </w:r>
      <w:proofErr w:type="spellEnd"/>
      <w:r>
        <w:rPr>
          <w:rFonts w:ascii="Arial" w:hAnsi="Arial" w:cs="Arial"/>
          <w:color w:val="0C0C0C"/>
          <w:sz w:val="27"/>
          <w:szCs w:val="27"/>
        </w:rPr>
        <w:t>)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righ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Республики Саха (Якутия)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righ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от 14.10.2015 З N 558-V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1 вступает в силу с 1 января 2016 года (</w:t>
      </w:r>
      <w:hyperlink r:id="rId4" w:anchor="P103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часть 2 статьи 8</w:t>
        </w:r>
      </w:hyperlink>
      <w:r>
        <w:rPr>
          <w:rFonts w:ascii="Arial" w:hAnsi="Arial" w:cs="Arial"/>
          <w:color w:val="0C0C0C"/>
          <w:sz w:val="27"/>
          <w:szCs w:val="27"/>
        </w:rPr>
        <w:t> данного документа).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1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Статью 27 Закона Республики Саха (Якутия) от 22 декабря 1992 года N 1273-XII "О республиканском референдуме" дополнить частью пятнадцатой следующего содержания: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"При оборудовании помещения для голосования должны обеспечиваться предусмотренные федеральным законодательством условия для беспрепятственного доступа к данному помещению участников референдума, являющихся инвалидами, и голосования в нем.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требований, предусмотренных федеральными законами.".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lastRenderedPageBreak/>
        <w:t>Статья 2 вступает в силу с 1 января 2016 года (</w:t>
      </w:r>
      <w:hyperlink r:id="rId5" w:anchor="P103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часть 2 статьи 8</w:t>
        </w:r>
      </w:hyperlink>
      <w:r>
        <w:rPr>
          <w:rFonts w:ascii="Arial" w:hAnsi="Arial" w:cs="Arial"/>
          <w:color w:val="0C0C0C"/>
          <w:sz w:val="27"/>
          <w:szCs w:val="27"/>
        </w:rPr>
        <w:t> данного документа).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2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Внести в статью 56 Закона Республики Саха (Якутия) от 19 мая 1993 года N 1487-XII "Об охране здоровья населения в Республике Саха (Якутия)" следующие изменения: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1) дополнить новой частью второй следующего содержания: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"Оснащение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осуществляется в соответствии с законодательством Российской Федерации.";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2) часть вторую считать частью третьей.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3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Внести в Закон Республики Саха (Якутия) от 21 июля 1994 года З N 27-I "О библиотечном деле" следующие изменения: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Пункт 1 статьи 3 вступает в силу с 1 января 2016 года (</w:t>
      </w:r>
      <w:hyperlink r:id="rId6" w:anchor="P103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часть 2 статьи 8</w:t>
        </w:r>
      </w:hyperlink>
      <w:r>
        <w:rPr>
          <w:rFonts w:ascii="Arial" w:hAnsi="Arial" w:cs="Arial"/>
          <w:color w:val="0C0C0C"/>
          <w:sz w:val="27"/>
          <w:szCs w:val="27"/>
        </w:rPr>
        <w:t> данного документа).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1) часть 5 статьи 5 изложить в следующей редакции: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"5.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</w:t>
      </w:r>
      <w:r>
        <w:rPr>
          <w:rFonts w:ascii="Arial" w:hAnsi="Arial" w:cs="Arial"/>
          <w:color w:val="0C0C0C"/>
          <w:sz w:val="27"/>
          <w:szCs w:val="27"/>
        </w:rPr>
        <w:lastRenderedPageBreak/>
        <w:t>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2) часть 4 статьи 12 признать утратившей силу;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3) в наименовании главы V слово "компетенции" заменить словом "полномочий";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4) в статье 13: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а) в наименовании слово "Компетенция" заменить словом "Полномочия", слово "высших" исключить;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б) в абзаце первом слово "высших" исключить;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в) дополнить пунктами "к", "л" и "м" следующего содержания: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"к) финансирование комплектования и обеспечения сохранности фондов государственных библиотек;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л) реализация прав граждан на библиотечное обслуживание;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Абзац четвертый подпункта "в" пункта 4 статьи 3 вступает в силу с 1 января 2016 года (</w:t>
      </w:r>
      <w:hyperlink r:id="rId7" w:anchor="P103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часть 2 статьи 8</w:t>
        </w:r>
      </w:hyperlink>
      <w:r>
        <w:rPr>
          <w:rFonts w:ascii="Arial" w:hAnsi="Arial" w:cs="Arial"/>
          <w:color w:val="0C0C0C"/>
          <w:sz w:val="27"/>
          <w:szCs w:val="27"/>
        </w:rPr>
        <w:t> данного документа).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м) обеспечение условий доступности для инвалидов государственных библиотек.";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5) в статье 14: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а) в пункте "б" слова "своей компетенции" заменить словами "своих полномочий";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б) дополнить пунктами "г", "д" и "е" следующего содержания: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"г) финансирование комплектования и обеспечения сохранности фондов муниципальных библиотек;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д) реализация прав граждан на библиотечное обслуживание;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Абзац четвертый подпункта "б" пункта 5 статьи 3 вступает в силу с 1 января 2016 года (</w:t>
      </w:r>
      <w:hyperlink r:id="rId8" w:anchor="P103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часть 2 статьи 8</w:t>
        </w:r>
      </w:hyperlink>
      <w:r>
        <w:rPr>
          <w:rFonts w:ascii="Arial" w:hAnsi="Arial" w:cs="Arial"/>
          <w:color w:val="0C0C0C"/>
          <w:sz w:val="27"/>
          <w:szCs w:val="27"/>
        </w:rPr>
        <w:t> данного документа).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lastRenderedPageBreak/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е) обеспечение условий доступности для инвалидов муниципальных библиотек.";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6) в наименовании статьи 15 слово "Компетенция" заменить словом "Полномочия".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4 вступает в силу с 1 января 2016 года (</w:t>
      </w:r>
      <w:hyperlink r:id="rId9" w:anchor="P103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часть 2 статьи 8</w:t>
        </w:r>
      </w:hyperlink>
      <w:r>
        <w:rPr>
          <w:rFonts w:ascii="Arial" w:hAnsi="Arial" w:cs="Arial"/>
          <w:color w:val="0C0C0C"/>
          <w:sz w:val="27"/>
          <w:szCs w:val="27"/>
        </w:rPr>
        <w:t> данного документа).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4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Внести в статью 2 Закона Республики Саха (Якутия) от 18 ноября 2009 года 754-З N 401-IV "О дополнительных мерах социальной поддержки инвалидов в Республике Саха (Якутия)" следующие изменения: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1) часть 1 после слов "месту реабилитации" дополнить словами "или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абилитации</w:t>
      </w:r>
      <w:proofErr w:type="spellEnd"/>
      <w:r>
        <w:rPr>
          <w:rFonts w:ascii="Arial" w:hAnsi="Arial" w:cs="Arial"/>
          <w:color w:val="0C0C0C"/>
          <w:sz w:val="27"/>
          <w:szCs w:val="27"/>
        </w:rPr>
        <w:t xml:space="preserve">", после слов "индивидуальным программам реабилитации" дополнить словами "или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абилитации</w:t>
      </w:r>
      <w:proofErr w:type="spellEnd"/>
      <w:r>
        <w:rPr>
          <w:rFonts w:ascii="Arial" w:hAnsi="Arial" w:cs="Arial"/>
          <w:color w:val="0C0C0C"/>
          <w:sz w:val="27"/>
          <w:szCs w:val="27"/>
        </w:rPr>
        <w:t>";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2) часть 2 после слов "месту реабилитации" дополнить словами "или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абилитации</w:t>
      </w:r>
      <w:proofErr w:type="spellEnd"/>
      <w:r>
        <w:rPr>
          <w:rFonts w:ascii="Arial" w:hAnsi="Arial" w:cs="Arial"/>
          <w:color w:val="0C0C0C"/>
          <w:sz w:val="27"/>
          <w:szCs w:val="27"/>
        </w:rPr>
        <w:t xml:space="preserve">", после слов "индивидуальным программам реабилитации" дополнить словами "или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абилитации</w:t>
      </w:r>
      <w:proofErr w:type="spellEnd"/>
      <w:r>
        <w:rPr>
          <w:rFonts w:ascii="Arial" w:hAnsi="Arial" w:cs="Arial"/>
          <w:color w:val="0C0C0C"/>
          <w:sz w:val="27"/>
          <w:szCs w:val="27"/>
        </w:rPr>
        <w:t>".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5 вступает в силу с 1 января 2016 года (</w:t>
      </w:r>
      <w:hyperlink r:id="rId10" w:anchor="P103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часть 2 статьи 8</w:t>
        </w:r>
      </w:hyperlink>
      <w:r>
        <w:rPr>
          <w:rFonts w:ascii="Arial" w:hAnsi="Arial" w:cs="Arial"/>
          <w:color w:val="0C0C0C"/>
          <w:sz w:val="27"/>
          <w:szCs w:val="27"/>
        </w:rPr>
        <w:t> данного документа).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5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Пункт 1 статьи 2 Закона Республики Саха (Якутия) от 28 июня 2012 года 1093-З N 1079-IV "О квотировании рабочих мест для трудоустройства граждан, испытывающих трудности в поиске работы, в Республике Саха (Якутия)" дополнить словами "или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абилитации</w:t>
      </w:r>
      <w:proofErr w:type="spellEnd"/>
      <w:r>
        <w:rPr>
          <w:rFonts w:ascii="Arial" w:hAnsi="Arial" w:cs="Arial"/>
          <w:color w:val="0C0C0C"/>
          <w:sz w:val="27"/>
          <w:szCs w:val="27"/>
        </w:rPr>
        <w:t>".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lastRenderedPageBreak/>
        <w:t>Статья 6 вступает в силу с 1 января 2016 года (</w:t>
      </w:r>
      <w:hyperlink r:id="rId11" w:anchor="P103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часть 2 статьи 8</w:t>
        </w:r>
      </w:hyperlink>
      <w:r>
        <w:rPr>
          <w:rFonts w:ascii="Arial" w:hAnsi="Arial" w:cs="Arial"/>
          <w:color w:val="0C0C0C"/>
          <w:sz w:val="27"/>
          <w:szCs w:val="27"/>
        </w:rPr>
        <w:t> данного документа).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6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Абзац пятнадцатый подпункта 1 пункта 2 приложения к Закону Республики Саха (Якутия) от 22 января 2015 года 1406-З N 367-V "Об утверждении перечня социальных услуг, предоставляемых поставщиками социальных услуг в Республике Саха (Якутия)" изложить в следующей редакции: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"долечивание, реабилитация,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абилитация</w:t>
      </w:r>
      <w:proofErr w:type="spellEnd"/>
      <w:r>
        <w:rPr>
          <w:rFonts w:ascii="Arial" w:hAnsi="Arial" w:cs="Arial"/>
          <w:color w:val="0C0C0C"/>
          <w:sz w:val="27"/>
          <w:szCs w:val="27"/>
        </w:rPr>
        <w:t xml:space="preserve"> (в том числе в соответствии с индивидуальной программой реабилитации или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абилитации</w:t>
      </w:r>
      <w:proofErr w:type="spellEnd"/>
      <w:r>
        <w:rPr>
          <w:rFonts w:ascii="Arial" w:hAnsi="Arial" w:cs="Arial"/>
          <w:color w:val="0C0C0C"/>
          <w:sz w:val="27"/>
          <w:szCs w:val="27"/>
        </w:rPr>
        <w:t xml:space="preserve"> инвалида);".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7 вступает в силу с 1 января 2016 года (</w:t>
      </w:r>
      <w:hyperlink r:id="rId12" w:anchor="P103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часть 2 статьи 8</w:t>
        </w:r>
      </w:hyperlink>
      <w:r>
        <w:rPr>
          <w:rFonts w:ascii="Arial" w:hAnsi="Arial" w:cs="Arial"/>
          <w:color w:val="0C0C0C"/>
          <w:sz w:val="27"/>
          <w:szCs w:val="27"/>
        </w:rPr>
        <w:t> данного документа).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7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Статью 4 Закона Республики Саха (Якутия) от 26 марта 2015 года 1441-З N 437-V "О реализации отдельных полномочий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в Республике Саха (Якутия)" дополнить пунктом 4 следующего содержания: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"4) обеспечение условий доступности для инвалидов объектов культурного наследия, находящихся в собственности поселений или городских округов.".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Статья 8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1. Настоящий Закон вступает в силу по истечении десяти дней со дня его официального опубликования, за исключением </w:t>
      </w:r>
      <w:hyperlink r:id="rId13" w:anchor="P21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статей 1</w:t>
        </w:r>
      </w:hyperlink>
      <w:r>
        <w:rPr>
          <w:rFonts w:ascii="Arial" w:hAnsi="Arial" w:cs="Arial"/>
          <w:color w:val="0C0C0C"/>
          <w:sz w:val="27"/>
          <w:szCs w:val="27"/>
        </w:rPr>
        <w:t> и </w:t>
      </w:r>
      <w:hyperlink r:id="rId14" w:anchor="P29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2</w:t>
        </w:r>
      </w:hyperlink>
      <w:r>
        <w:rPr>
          <w:rFonts w:ascii="Arial" w:hAnsi="Arial" w:cs="Arial"/>
          <w:color w:val="0C0C0C"/>
          <w:sz w:val="27"/>
          <w:szCs w:val="27"/>
        </w:rPr>
        <w:t>, </w:t>
      </w:r>
      <w:hyperlink r:id="rId15" w:anchor="P42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пункта 1</w:t>
        </w:r>
      </w:hyperlink>
      <w:r>
        <w:rPr>
          <w:rFonts w:ascii="Arial" w:hAnsi="Arial" w:cs="Arial"/>
          <w:color w:val="0C0C0C"/>
          <w:sz w:val="27"/>
          <w:szCs w:val="27"/>
        </w:rPr>
        <w:t>, </w:t>
      </w:r>
      <w:hyperlink r:id="rId16" w:anchor="P56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абзаца четвертого подпункта "в" пункта 4</w:t>
        </w:r>
      </w:hyperlink>
      <w:r>
        <w:rPr>
          <w:rFonts w:ascii="Arial" w:hAnsi="Arial" w:cs="Arial"/>
          <w:color w:val="0C0C0C"/>
          <w:sz w:val="27"/>
          <w:szCs w:val="27"/>
        </w:rPr>
        <w:t>, </w:t>
      </w:r>
      <w:hyperlink r:id="rId17" w:anchor="P65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абзаца четвертого подпункта "б" пункта 5 статьи 3</w:t>
        </w:r>
      </w:hyperlink>
      <w:r>
        <w:rPr>
          <w:rFonts w:ascii="Arial" w:hAnsi="Arial" w:cs="Arial"/>
          <w:color w:val="0C0C0C"/>
          <w:sz w:val="27"/>
          <w:szCs w:val="27"/>
        </w:rPr>
        <w:t>, </w:t>
      </w:r>
      <w:hyperlink r:id="rId18" w:anchor="P71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статей 4</w:t>
        </w:r>
      </w:hyperlink>
      <w:r>
        <w:rPr>
          <w:rFonts w:ascii="Arial" w:hAnsi="Arial" w:cs="Arial"/>
          <w:color w:val="0C0C0C"/>
          <w:sz w:val="27"/>
          <w:szCs w:val="27"/>
        </w:rPr>
        <w:t> - </w:t>
      </w:r>
      <w:hyperlink r:id="rId19" w:anchor="P95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7</w:t>
        </w:r>
      </w:hyperlink>
      <w:r>
        <w:rPr>
          <w:rFonts w:ascii="Arial" w:hAnsi="Arial" w:cs="Arial"/>
          <w:color w:val="0C0C0C"/>
          <w:sz w:val="27"/>
          <w:szCs w:val="27"/>
        </w:rPr>
        <w:t> настоящего Закона.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lastRenderedPageBreak/>
        <w:t>2. </w:t>
      </w:r>
      <w:hyperlink r:id="rId20" w:anchor="P21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Статьи 1</w:t>
        </w:r>
      </w:hyperlink>
      <w:r>
        <w:rPr>
          <w:rFonts w:ascii="Arial" w:hAnsi="Arial" w:cs="Arial"/>
          <w:color w:val="0C0C0C"/>
          <w:sz w:val="27"/>
          <w:szCs w:val="27"/>
        </w:rPr>
        <w:t> и </w:t>
      </w:r>
      <w:hyperlink r:id="rId21" w:anchor="P29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2</w:t>
        </w:r>
      </w:hyperlink>
      <w:r>
        <w:rPr>
          <w:rFonts w:ascii="Arial" w:hAnsi="Arial" w:cs="Arial"/>
          <w:color w:val="0C0C0C"/>
          <w:sz w:val="27"/>
          <w:szCs w:val="27"/>
        </w:rPr>
        <w:t>, </w:t>
      </w:r>
      <w:hyperlink r:id="rId22" w:anchor="P42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пункт 1</w:t>
        </w:r>
      </w:hyperlink>
      <w:r>
        <w:rPr>
          <w:rFonts w:ascii="Arial" w:hAnsi="Arial" w:cs="Arial"/>
          <w:color w:val="0C0C0C"/>
          <w:sz w:val="27"/>
          <w:szCs w:val="27"/>
        </w:rPr>
        <w:t>, </w:t>
      </w:r>
      <w:hyperlink r:id="rId23" w:anchor="P56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абзац четвертый подпункта "в" пункта 4</w:t>
        </w:r>
      </w:hyperlink>
      <w:r>
        <w:rPr>
          <w:rFonts w:ascii="Arial" w:hAnsi="Arial" w:cs="Arial"/>
          <w:color w:val="0C0C0C"/>
          <w:sz w:val="27"/>
          <w:szCs w:val="27"/>
        </w:rPr>
        <w:t>, </w:t>
      </w:r>
      <w:hyperlink r:id="rId24" w:anchor="P65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абзац четвертый подпункта "б" пункта 5 статьи 3</w:t>
        </w:r>
      </w:hyperlink>
      <w:r>
        <w:rPr>
          <w:rFonts w:ascii="Arial" w:hAnsi="Arial" w:cs="Arial"/>
          <w:color w:val="0C0C0C"/>
          <w:sz w:val="27"/>
          <w:szCs w:val="27"/>
        </w:rPr>
        <w:t>, </w:t>
      </w:r>
      <w:hyperlink r:id="rId25" w:anchor="P71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статьи 4</w:t>
        </w:r>
      </w:hyperlink>
      <w:r>
        <w:rPr>
          <w:rFonts w:ascii="Arial" w:hAnsi="Arial" w:cs="Arial"/>
          <w:color w:val="0C0C0C"/>
          <w:sz w:val="27"/>
          <w:szCs w:val="27"/>
        </w:rPr>
        <w:t> - </w:t>
      </w:r>
      <w:hyperlink r:id="rId26" w:anchor="P95" w:history="1">
        <w:r>
          <w:rPr>
            <w:rStyle w:val="a4"/>
            <w:rFonts w:ascii="Arial" w:hAnsi="Arial" w:cs="Arial"/>
            <w:color w:val="1888EF"/>
            <w:sz w:val="27"/>
            <w:szCs w:val="27"/>
          </w:rPr>
          <w:t>7</w:t>
        </w:r>
      </w:hyperlink>
      <w:r>
        <w:rPr>
          <w:rFonts w:ascii="Arial" w:hAnsi="Arial" w:cs="Arial"/>
          <w:color w:val="0C0C0C"/>
          <w:sz w:val="27"/>
          <w:szCs w:val="27"/>
        </w:rPr>
        <w:t> настоящего Закона вступают в силу с 1 января 2016 года.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righ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Глава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righ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Республики Саха (Якутия)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jc w:val="righ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Е.БОРИСОВ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г. Якутск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14 октября 2015 года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1500-З N 557-V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7035A3" w:rsidRDefault="007035A3" w:rsidP="007035A3">
      <w:pPr>
        <w:pStyle w:val="a3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5827E9" w:rsidRDefault="005827E9"/>
    <w:sectPr w:rsidR="005827E9" w:rsidSect="005D18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1A"/>
    <w:rsid w:val="0001771A"/>
    <w:rsid w:val="005827E9"/>
    <w:rsid w:val="005D18FB"/>
    <w:rsid w:val="0070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4761-1C02-4357-BAA6-5A7EEA1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5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9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13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18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26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7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12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17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25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20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11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24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5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15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23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19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4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9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14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22" Type="http://schemas.openxmlformats.org/officeDocument/2006/relationships/hyperlink" Target="https://mintrud.sakha.gov.ru/doki1/sozdanie-bezbarernoj-sredy/zakony-i-npa-rsja-/zakon-respubliki-saha-jakutija-ot-14102015-z-n-558-v-o-vnesenii-izmenenij-v-otdelnye-zakonodatelnye-akty-rsja-po-voprosam-sotsialnoj-zaschity-invalidov-v-svjazi-s-ratifikatsiej-konventsii-o-pravah-invalid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2021-05-21T06:25:00Z</dcterms:created>
  <dcterms:modified xsi:type="dcterms:W3CDTF">2021-05-21T06:25:00Z</dcterms:modified>
</cp:coreProperties>
</file>